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31A" w:rsidRPr="00E7731A" w:rsidRDefault="00E7731A" w:rsidP="00E7731A">
      <w:pPr>
        <w:shd w:val="clear" w:color="auto" w:fill="FFFFFF"/>
        <w:spacing w:after="150"/>
        <w:outlineLvl w:val="2"/>
        <w:rPr>
          <w:rFonts w:ascii="Arial" w:eastAsia="Times New Roman" w:hAnsi="Arial" w:cs="Arial"/>
          <w:b/>
          <w:bCs/>
          <w:color w:val="00468C"/>
          <w:sz w:val="30"/>
          <w:szCs w:val="30"/>
        </w:rPr>
      </w:pPr>
      <w:r w:rsidRPr="00E7731A">
        <w:rPr>
          <w:rFonts w:ascii="Arial" w:eastAsia="Times New Roman" w:hAnsi="Arial" w:cs="Arial"/>
          <w:b/>
          <w:bCs/>
          <w:color w:val="00468C"/>
          <w:sz w:val="30"/>
          <w:szCs w:val="30"/>
        </w:rPr>
        <w:t>Chính sách mới có hiệu lực từ tháng 9/2024</w:t>
      </w:r>
    </w:p>
    <w:p w:rsidR="00E7731A" w:rsidRPr="00E7731A" w:rsidRDefault="00445C35" w:rsidP="00E7731A">
      <w:pPr>
        <w:shd w:val="clear" w:color="auto" w:fill="FFFFFF"/>
        <w:spacing w:after="300"/>
        <w:jc w:val="both"/>
        <w:rPr>
          <w:rFonts w:ascii="Arial" w:eastAsia="Times New Roman" w:hAnsi="Arial" w:cs="Arial"/>
          <w:b/>
          <w:bCs/>
          <w:i/>
          <w:iCs/>
          <w:color w:val="333333"/>
          <w:sz w:val="23"/>
          <w:szCs w:val="23"/>
        </w:rPr>
      </w:pPr>
      <w:r>
        <w:rPr>
          <w:rFonts w:ascii="Arial" w:eastAsia="Times New Roman" w:hAnsi="Arial" w:cs="Arial"/>
          <w:b/>
          <w:bCs/>
          <w:i/>
          <w:iCs/>
          <w:color w:val="333333"/>
          <w:sz w:val="23"/>
          <w:szCs w:val="23"/>
        </w:rPr>
        <w:t>Q</w:t>
      </w:r>
      <w:bookmarkStart w:id="0" w:name="_GoBack"/>
      <w:bookmarkEnd w:id="0"/>
      <w:r w:rsidR="00E7731A" w:rsidRPr="00E7731A">
        <w:rPr>
          <w:rFonts w:ascii="Arial" w:eastAsia="Times New Roman" w:hAnsi="Arial" w:cs="Arial"/>
          <w:b/>
          <w:bCs/>
          <w:i/>
          <w:iCs/>
          <w:color w:val="333333"/>
          <w:sz w:val="23"/>
          <w:szCs w:val="23"/>
        </w:rPr>
        <w:t>uy định mới về thang lương, bảng lương, phụ cấp lương với người lao động trong doanh nghiệp nhà nước; sửa quy định mua, bán ngoại tệ giữa dự trữ ngoại hối chính thức với ngân sách nhà nước... là những chính sách mới có hiệu lực từ tháng 9/2024.</w:t>
      </w:r>
    </w:p>
    <w:p w:rsidR="00E7731A" w:rsidRPr="00E7731A" w:rsidRDefault="00E7731A" w:rsidP="00E7731A">
      <w:pPr>
        <w:shd w:val="clear" w:color="auto" w:fill="FFFFFF"/>
        <w:outlineLvl w:val="2"/>
        <w:rPr>
          <w:rFonts w:ascii="NotoSerif" w:eastAsia="Times New Roman" w:hAnsi="NotoSerif" w:cs="Arial"/>
          <w:color w:val="333333"/>
          <w:sz w:val="36"/>
          <w:szCs w:val="36"/>
        </w:rPr>
      </w:pPr>
      <w:r w:rsidRPr="00E7731A">
        <w:rPr>
          <w:rFonts w:ascii="NotoSerif" w:eastAsia="Times New Roman" w:hAnsi="NotoSerif" w:cs="Arial"/>
          <w:color w:val="333333"/>
          <w:sz w:val="36"/>
          <w:szCs w:val="36"/>
        </w:rPr>
        <w:t>Từ ngày 1/9/2024, áp dụng quy định mới về số lượng cấp phó của các cơ quan, đơn vị</w:t>
      </w:r>
    </w:p>
    <w:p w:rsidR="00E7731A" w:rsidRPr="00E7731A" w:rsidRDefault="00E7731A" w:rsidP="00E7731A">
      <w:pPr>
        <w:shd w:val="clear" w:color="auto" w:fill="FFFFFF"/>
        <w:spacing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Ngày 10/7/2024, Chính phủ ban hành Nghị định số </w:t>
      </w:r>
      <w:hyperlink r:id="rId5" w:tgtFrame="_blank" w:tooltip="83/2024/NĐ-CP" w:history="1">
        <w:r w:rsidRPr="00E7731A">
          <w:rPr>
            <w:rFonts w:ascii="NotoSerif" w:eastAsia="Times New Roman" w:hAnsi="NotoSerif" w:cs="Arial"/>
            <w:color w:val="0000FF"/>
            <w:sz w:val="26"/>
            <w:szCs w:val="26"/>
            <w:u w:val="single"/>
          </w:rPr>
          <w:t>83/2024/NĐ-CP</w:t>
        </w:r>
      </w:hyperlink>
      <w:r w:rsidRPr="00E7731A">
        <w:rPr>
          <w:rFonts w:ascii="NotoSerif" w:eastAsia="Times New Roman" w:hAnsi="NotoSerif" w:cs="Arial"/>
          <w:color w:val="333333"/>
          <w:sz w:val="26"/>
          <w:szCs w:val="26"/>
        </w:rPr>
        <w:t xml:space="preserve"> trong đó sửa đổi một loạt quy định về số lượng cấp phó của các cơ quan, đơn vị. </w:t>
      </w:r>
      <w:proofErr w:type="gramStart"/>
      <w:r w:rsidRPr="00E7731A">
        <w:rPr>
          <w:rFonts w:ascii="NotoSerif" w:eastAsia="Times New Roman" w:hAnsi="NotoSerif" w:cs="Arial"/>
          <w:color w:val="333333"/>
          <w:sz w:val="26"/>
          <w:szCs w:val="26"/>
        </w:rPr>
        <w:t>Nghị định số 83/2024/NĐ-CP có hiệu lực thi hành từ ngày 01 tháng 9 năm 2024.</w:t>
      </w:r>
      <w:proofErr w:type="gramEnd"/>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Về số lượng cấp phó của người đứng đầu vụ, cục, thanh tra, văn phòng thuộc tổng cục thuộc bộ, Nghị định số 83/2024/NĐ-CP sửa đổi điểm a, b khoản 5 Điều 22 của Nghị định số 123/2016/NĐ-CP đã được sửa đổi, bổ sung tại khoản 12 Điều 1 Nghị định số 101/2020/NĐ-CP như sau:</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a) Vụ thuộc tổng cục có từ 15 đến 20 biên chế công chức, cục (trừ cục đặt tại địa phương), thanh tra, văn phòng thuộc tổng cục có dưới 04 tổ chức được bố trí không quá 02 cấp phó;</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b) Vụ thuộc tổng cục có trên 20 biên chế công chức; cục (trừ các cục đặt tại địa phương), thanh tra, văn phòng thuộc tổng cục có từ 04 tổ chức trở lên thì Bộ trưởng, Thủ trưởng cơ quan ngang bộ quyết định số lượng cấp phó của từng đơn vị, bảo đảm bình quân không quá 03 người trên một đơn vị.</w:t>
      </w:r>
    </w:p>
    <w:p w:rsidR="00E7731A" w:rsidRPr="00E7731A" w:rsidRDefault="00E7731A" w:rsidP="00E7731A">
      <w:pPr>
        <w:shd w:val="clear" w:color="auto" w:fill="FFFFFF"/>
        <w:outlineLvl w:val="2"/>
        <w:rPr>
          <w:rFonts w:ascii="NotoSerif" w:eastAsia="Times New Roman" w:hAnsi="NotoSerif" w:cs="Arial"/>
          <w:color w:val="333333"/>
          <w:sz w:val="36"/>
          <w:szCs w:val="36"/>
        </w:rPr>
      </w:pPr>
      <w:r w:rsidRPr="00E7731A">
        <w:rPr>
          <w:rFonts w:ascii="NotoSerif" w:eastAsia="Times New Roman" w:hAnsi="NotoSerif" w:cs="Arial"/>
          <w:b/>
          <w:bCs/>
          <w:color w:val="333333"/>
          <w:sz w:val="36"/>
          <w:szCs w:val="36"/>
        </w:rPr>
        <w:t>Quy định về chuyển đổi công ty nhà nước thành công ty TNHH một thành viên</w:t>
      </w:r>
    </w:p>
    <w:p w:rsidR="00E7731A" w:rsidRPr="00E7731A" w:rsidRDefault="00E7731A" w:rsidP="00E7731A">
      <w:pPr>
        <w:shd w:val="clear" w:color="auto" w:fill="FFFFFF"/>
        <w:spacing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Chính phủ ban hành Nghị định số </w:t>
      </w:r>
      <w:hyperlink r:id="rId6" w:tgtFrame="_blank" w:tooltip="89/2024/NĐ-CP" w:history="1">
        <w:r w:rsidRPr="00E7731A">
          <w:rPr>
            <w:rFonts w:ascii="NotoSerif" w:eastAsia="Times New Roman" w:hAnsi="NotoSerif" w:cs="Arial"/>
            <w:color w:val="0000FF"/>
            <w:sz w:val="26"/>
            <w:szCs w:val="26"/>
            <w:u w:val="single"/>
          </w:rPr>
          <w:t>89/2024/NĐ-CP</w:t>
        </w:r>
      </w:hyperlink>
      <w:r w:rsidRPr="00E7731A">
        <w:rPr>
          <w:rFonts w:ascii="NotoSerif" w:eastAsia="Times New Roman" w:hAnsi="NotoSerif" w:cs="Arial"/>
          <w:color w:val="333333"/>
          <w:sz w:val="26"/>
          <w:szCs w:val="26"/>
        </w:rPr>
        <w:t xml:space="preserve"> ngày 16/7/2024 về chuyển đổi công ty nhà nước được thành lập và hoạt động </w:t>
      </w:r>
      <w:proofErr w:type="gramStart"/>
      <w:r w:rsidRPr="00E7731A">
        <w:rPr>
          <w:rFonts w:ascii="NotoSerif" w:eastAsia="Times New Roman" w:hAnsi="NotoSerif" w:cs="Arial"/>
          <w:color w:val="333333"/>
          <w:sz w:val="26"/>
          <w:szCs w:val="26"/>
        </w:rPr>
        <w:t>theo</w:t>
      </w:r>
      <w:proofErr w:type="gramEnd"/>
      <w:r w:rsidRPr="00E7731A">
        <w:rPr>
          <w:rFonts w:ascii="NotoSerif" w:eastAsia="Times New Roman" w:hAnsi="NotoSerif" w:cs="Arial"/>
          <w:color w:val="333333"/>
          <w:sz w:val="26"/>
          <w:szCs w:val="26"/>
        </w:rPr>
        <w:t xml:space="preserve"> Luật Doanh nghiệp nhà nước thành công ty TNHH một thành viên tổ chức và hoạt động theo quy định tại Luật Doanh nghiệp.</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Nghị định nêu rõ, cơ quan đại diện chủ sở hữu quyết định chuyển đổi công ty nhà nước do mình quyết định thành lập hoặc được giao quản lý thành công ty trách nhiệm hữu hạn một thành viên do Nhà nước nắm giữ 100% vốn điều lệ.</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lastRenderedPageBreak/>
        <w:t>Công ty trách nhiệm hữu hạn một thành viên kế thừa toàn bộ quyền và lợi ích hợp pháp của công ty nhà nước hoặc công ty con chưa chuyển đổi; được sử dụng toàn bộ tài sản, lao động, diện tích đất do công ty được chuyển đổi đang quản lý để tổ chức sản xuất kinh doanh theo quy định pháp luật.</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Công ty trách nhiệm hữu hạn một thành viên chịu trách nhiệm về các nghĩa vụ của công ty nhà nước hoặc công ty con chưa chuyển đổi gồm: các khoản nợ chưa thanh toán, hợp đồng lao động, nghĩa vụ trong quản lý, sử dụng đất đai theo quy định pháp luật về đất đai, các nghĩa vụ và trách nhiệm khác.</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E7731A">
        <w:rPr>
          <w:rFonts w:ascii="NotoSerif" w:eastAsia="Times New Roman" w:hAnsi="NotoSerif" w:cs="Arial"/>
          <w:color w:val="333333"/>
          <w:sz w:val="26"/>
          <w:szCs w:val="26"/>
        </w:rPr>
        <w:t>Nghị định này có hiệu lực từ ngày 1/9/2024.</w:t>
      </w:r>
      <w:proofErr w:type="gramEnd"/>
    </w:p>
    <w:p w:rsidR="00E7731A" w:rsidRPr="00E7731A" w:rsidRDefault="00E7731A" w:rsidP="00E7731A">
      <w:pPr>
        <w:shd w:val="clear" w:color="auto" w:fill="FFFFFF"/>
        <w:outlineLvl w:val="2"/>
        <w:rPr>
          <w:rFonts w:ascii="NotoSerif" w:eastAsia="Times New Roman" w:hAnsi="NotoSerif" w:cs="Arial"/>
          <w:color w:val="333333"/>
          <w:sz w:val="36"/>
          <w:szCs w:val="36"/>
        </w:rPr>
      </w:pPr>
      <w:r w:rsidRPr="00E7731A">
        <w:rPr>
          <w:rFonts w:ascii="NotoSerif" w:eastAsia="Times New Roman" w:hAnsi="NotoSerif" w:cs="Arial"/>
          <w:b/>
          <w:bCs/>
          <w:color w:val="333333"/>
          <w:sz w:val="36"/>
          <w:szCs w:val="36"/>
        </w:rPr>
        <w:t>Sửa quy định về phong tỏa, xử lý tiền, tài sản liên quan đến khủng bố</w:t>
      </w:r>
    </w:p>
    <w:p w:rsidR="00E7731A" w:rsidRPr="00E7731A" w:rsidRDefault="00E7731A" w:rsidP="00E7731A">
      <w:pPr>
        <w:shd w:val="clear" w:color="auto" w:fill="FFFFFF"/>
        <w:spacing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Có hiệu lực từ ngày 1/9/2024, Nghị định số </w:t>
      </w:r>
      <w:hyperlink r:id="rId7" w:tgtFrame="_blank" w:history="1">
        <w:r w:rsidRPr="00E7731A">
          <w:rPr>
            <w:rFonts w:ascii="NotoSerif" w:eastAsia="Times New Roman" w:hAnsi="NotoSerif" w:cs="Arial"/>
            <w:color w:val="0000FF"/>
            <w:sz w:val="26"/>
            <w:szCs w:val="26"/>
            <w:u w:val="single"/>
          </w:rPr>
          <w:t>93/2024/NĐ-CP</w:t>
        </w:r>
      </w:hyperlink>
      <w:r w:rsidRPr="00E7731A">
        <w:rPr>
          <w:rFonts w:ascii="NotoSerif" w:eastAsia="Times New Roman" w:hAnsi="NotoSerif" w:cs="Arial"/>
          <w:color w:val="333333"/>
          <w:sz w:val="26"/>
          <w:szCs w:val="26"/>
        </w:rPr>
        <w:t> ngày 19/7/2024 sửa đổi, bổ sung một số điều của Nghị định số 122/2013/NĐ-CP quy định về tạm ngừng lưu thông, phong tỏa, niêm phong, tạm giữ, xử lý đối với tiền, tài sản liên quan đến khủng bố, tài trợ khủng bố; xác lập danh sách tổ chức, cá nhân liên quan đến khủng bố, tài trợ khủng bố.</w:t>
      </w:r>
    </w:p>
    <w:p w:rsidR="00E7731A" w:rsidRPr="00E7731A" w:rsidRDefault="00E7731A" w:rsidP="00E7731A">
      <w:pPr>
        <w:shd w:val="clear" w:color="auto" w:fill="FFFFFF"/>
        <w:outlineLvl w:val="2"/>
        <w:rPr>
          <w:rFonts w:ascii="NotoSerif" w:eastAsia="Times New Roman" w:hAnsi="NotoSerif" w:cs="Arial"/>
          <w:color w:val="333333"/>
          <w:sz w:val="36"/>
          <w:szCs w:val="36"/>
        </w:rPr>
      </w:pPr>
      <w:r w:rsidRPr="00E7731A">
        <w:rPr>
          <w:rFonts w:ascii="NotoSerif" w:eastAsia="Times New Roman" w:hAnsi="NotoSerif" w:cs="Arial"/>
          <w:b/>
          <w:bCs/>
          <w:color w:val="333333"/>
          <w:sz w:val="36"/>
          <w:szCs w:val="36"/>
        </w:rPr>
        <w:t>Sửa quy định thực hiện quyền, trách nhiệm của đại diện chủ sở hữu nhà nước</w:t>
      </w:r>
    </w:p>
    <w:p w:rsidR="00E7731A" w:rsidRPr="00E7731A" w:rsidRDefault="00E7731A" w:rsidP="00E7731A">
      <w:pPr>
        <w:shd w:val="clear" w:color="auto" w:fill="FFFFFF"/>
        <w:spacing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Ngày 25/7/2024, Chính phủ ban hành Nghị định số </w:t>
      </w:r>
      <w:hyperlink r:id="rId8" w:tgtFrame="_blank" w:tooltip="97/2024/NĐ-CP" w:history="1">
        <w:r w:rsidRPr="00E7731A">
          <w:rPr>
            <w:rFonts w:ascii="NotoSerif" w:eastAsia="Times New Roman" w:hAnsi="NotoSerif" w:cs="Arial"/>
            <w:color w:val="0000FF"/>
            <w:sz w:val="26"/>
            <w:szCs w:val="26"/>
            <w:u w:val="single"/>
          </w:rPr>
          <w:t>97/2024/NĐ-CP</w:t>
        </w:r>
      </w:hyperlink>
      <w:r w:rsidRPr="00E7731A">
        <w:rPr>
          <w:rFonts w:ascii="NotoSerif" w:eastAsia="Times New Roman" w:hAnsi="NotoSerif" w:cs="Arial"/>
          <w:color w:val="333333"/>
          <w:sz w:val="26"/>
          <w:szCs w:val="26"/>
        </w:rPr>
        <w:t> sửa đổi, bổ sung một số điều của Nghị định số 10/2019/NĐ-CP ngày 30/01/2019 của Chính phủ về thực hiện quyền, trách nhiệm của đại diện chủ sở hữu nhà nước.</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Nghị định số 97/2024/NĐ-CP có hiệu lực từ ngày 10/9/2024 nêu rõ: Cơ quan đại diện chủ sở hữu thực hiện quyền, trách nhiệm của đại diện chủ sở hữu nhà nước theo quy định của Luật Quản lý, sử dụng vốn nhà nước đầu tư vào sản xuất, kinh doanh tại doanh nghiệp và quy định của pháp luật liên quan đối với:</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1- Doanh nghiệp do cơ quan đại diện chủ sở hữu quyết định thành lập;</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 xml:space="preserve">2- Doanh nghiệp do cơ quan đại diện chủ sở hữu được giao quản lý hoặc được giao trực tiếp làm đại diện chủ sở hữu, bao gồm cả các doanh nghiệp do Thủ tướng Chính phủ quyết định thành lập trước thời điểm Luật Quản lý, sử dụng vốn nhà nước đầu tư </w:t>
      </w:r>
      <w:r w:rsidRPr="00E7731A">
        <w:rPr>
          <w:rFonts w:ascii="NotoSerif" w:eastAsia="Times New Roman" w:hAnsi="NotoSerif" w:cs="Arial"/>
          <w:color w:val="333333"/>
          <w:sz w:val="26"/>
          <w:szCs w:val="26"/>
        </w:rPr>
        <w:lastRenderedPageBreak/>
        <w:t>vào sản xuất, kinh doanh tại doanh nghiệp có hiệu lực thi hành và không có tên tại Phụ lục I kèm theo Nghị định này;</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3- Phần vốn nhà nước đầu tư tại công ty cổ phần, công ty trách nhiệm hữu hạn hai thành viên trở lên.</w:t>
      </w:r>
    </w:p>
    <w:p w:rsidR="00E7731A" w:rsidRPr="00E7731A" w:rsidRDefault="00E7731A" w:rsidP="00E7731A">
      <w:pPr>
        <w:shd w:val="clear" w:color="auto" w:fill="FFFFFF"/>
        <w:outlineLvl w:val="2"/>
        <w:rPr>
          <w:rFonts w:ascii="NotoSerif" w:eastAsia="Times New Roman" w:hAnsi="NotoSerif" w:cs="Arial"/>
          <w:color w:val="333333"/>
          <w:sz w:val="36"/>
          <w:szCs w:val="36"/>
        </w:rPr>
      </w:pPr>
      <w:r w:rsidRPr="00E7731A">
        <w:rPr>
          <w:rFonts w:ascii="NotoSerif" w:eastAsia="Times New Roman" w:hAnsi="NotoSerif" w:cs="Arial"/>
          <w:b/>
          <w:bCs/>
          <w:color w:val="333333"/>
          <w:sz w:val="36"/>
          <w:szCs w:val="36"/>
        </w:rPr>
        <w:t>Từ 20/9, cơ sở chăn nuôi sẽ được hỗ trợ đến 1 tỷ đồng để xử lý chất thải chăn nuôi</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Chính phủ ban hành Nghị định 106/2024/NĐ-CP ngày 1/8/2024 quy định cụ thể các chính sách hỗ trợ, khuyến khích nâng cao hiệu quả chăn nuôi bao gồm: hỗ trợ phối giống nhân tạo đối với trâu, bò, lợn; hỗ trợ mua đực giống trâu, bò, dê, cừu, lợn, hươu sao; hỗ trợ mua gà, vịt, ngan giống cấp bố mẹ và khuyến khích xử lý chất thải chăn nuôi.</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Theo Nghị định này, tổ chức, cá nhân được hỗ trợ không quá 50% giá trị sản phẩm xử lý chất thải chăn nuôi nhằm khuyến khích áp dụng để xử lý chất thải chăn nuôi. Mức hỗ trợ tối đa như sau: 05 triệu đồng/cơ sở (chăn nuôi nông hộ); 50 triệu đồng/cơ sở (chăn nuôi trang trại quy mô nhỏ và vừa); 100 triệu đồng/cơ sở (chăn nuôi trang trại quy mô lớn).</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E7731A">
        <w:rPr>
          <w:rFonts w:ascii="NotoSerif" w:eastAsia="Times New Roman" w:hAnsi="NotoSerif" w:cs="Arial"/>
          <w:color w:val="333333"/>
          <w:sz w:val="26"/>
          <w:szCs w:val="26"/>
        </w:rPr>
        <w:t>Đồng thời, hỗ trợ không quá 50% giá trị công trình khí sinh học nhằm khuyến khích xử lý chất thải chăn nuôi.</w:t>
      </w:r>
      <w:proofErr w:type="gramEnd"/>
      <w:r w:rsidRPr="00E7731A">
        <w:rPr>
          <w:rFonts w:ascii="NotoSerif" w:eastAsia="Times New Roman" w:hAnsi="NotoSerif" w:cs="Arial"/>
          <w:color w:val="333333"/>
          <w:sz w:val="26"/>
          <w:szCs w:val="26"/>
        </w:rPr>
        <w:t xml:space="preserve"> Mức hỗ trợ tối đa như sau: 07 triệu đồng/công trình (chăn nuôi nông hộ); 300 triệu đồng/công trình (chăn nuôi trang trại quy mô nhỏ và vừa); 01 tỷ đồng/công trình (chăn nuôi trang trại quy mô lớn).</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E7731A">
        <w:rPr>
          <w:rFonts w:ascii="NotoSerif" w:eastAsia="Times New Roman" w:hAnsi="NotoSerif" w:cs="Arial"/>
          <w:color w:val="333333"/>
          <w:sz w:val="26"/>
          <w:szCs w:val="26"/>
        </w:rPr>
        <w:t>Nghị định trên có hiệu từ ngày 20/9/2024.</w:t>
      </w:r>
      <w:proofErr w:type="gramEnd"/>
    </w:p>
    <w:p w:rsidR="00E7731A" w:rsidRPr="00E7731A" w:rsidRDefault="00E7731A" w:rsidP="00E7731A">
      <w:pPr>
        <w:shd w:val="clear" w:color="auto" w:fill="FFFFFF"/>
        <w:outlineLvl w:val="2"/>
        <w:rPr>
          <w:rFonts w:ascii="NotoSerif" w:eastAsia="Times New Roman" w:hAnsi="NotoSerif" w:cs="Arial"/>
          <w:color w:val="333333"/>
          <w:sz w:val="36"/>
          <w:szCs w:val="36"/>
        </w:rPr>
      </w:pPr>
      <w:r w:rsidRPr="00E7731A">
        <w:rPr>
          <w:rFonts w:ascii="NotoSerif" w:eastAsia="Times New Roman" w:hAnsi="NotoSerif" w:cs="Arial"/>
          <w:b/>
          <w:bCs/>
          <w:color w:val="333333"/>
          <w:sz w:val="36"/>
          <w:szCs w:val="36"/>
        </w:rPr>
        <w:t>Giảm 50% lệ phí trước bạ đối với ô tô sản xuất, lắp ráp trong nước</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 xml:space="preserve">Chính phủ ban hành Nghị định số 109/2024/NĐ-CP ngày 29/8/2024 quy định mức </w:t>
      </w:r>
      <w:proofErr w:type="gramStart"/>
      <w:r w:rsidRPr="00E7731A">
        <w:rPr>
          <w:rFonts w:ascii="NotoSerif" w:eastAsia="Times New Roman" w:hAnsi="NotoSerif" w:cs="Arial"/>
          <w:color w:val="333333"/>
          <w:sz w:val="26"/>
          <w:szCs w:val="26"/>
        </w:rPr>
        <w:t>thu</w:t>
      </w:r>
      <w:proofErr w:type="gramEnd"/>
      <w:r w:rsidRPr="00E7731A">
        <w:rPr>
          <w:rFonts w:ascii="NotoSerif" w:eastAsia="Times New Roman" w:hAnsi="NotoSerif" w:cs="Arial"/>
          <w:color w:val="333333"/>
          <w:sz w:val="26"/>
          <w:szCs w:val="26"/>
        </w:rPr>
        <w:t xml:space="preserve"> lệ phí trước bạ đối với ô tô, rơ moóc hoặc sơ mi sơ moóc được kéo bởi ô tô và các loại xe tương tự xe ô tô được sản xuất, lắp ráp trong nước.</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 xml:space="preserve">Theo đó, từ ngày 1/9/2024 đến hết ngày 30/11/2024: Mức thu lệ phí trước bạ bằng 50% mức thu quy định tại Nghị định số 10/2022/NĐ-CP ngày 15/1/2022 của Chính </w:t>
      </w:r>
      <w:r w:rsidRPr="00E7731A">
        <w:rPr>
          <w:rFonts w:ascii="NotoSerif" w:eastAsia="Times New Roman" w:hAnsi="NotoSerif" w:cs="Arial"/>
          <w:color w:val="333333"/>
          <w:sz w:val="26"/>
          <w:szCs w:val="26"/>
        </w:rPr>
        <w:lastRenderedPageBreak/>
        <w:t>phủ quy định về lệ phí trước bạ; các Nghị quyết hiện hành của Hội đồng nhân dân hoặc Quyết định hiện hành của UBND tỉnh, thành phố trực thuộc trung ương về mức thu lệ phí trước bạ tại địa phương và các văn bản sửa đổi, bổ sung, thay thế (nếu có).</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Từ ngày 01/12/2024 trở đi: Mức thu lệ phí trước bạ tiếp tục thực hiện theo quy định tại Nghị định số 10/2022/NĐ-CP; các Nghị quyết hiện hành của Hội đồng nhân dân hoặc Quyết định hiện hành của Ủy ban nhân dân tỉnh, thành phố trực thuộc trung ương về mức thu lệ phí trước bạ tại địa phương và các văn bản sửa đổi, bổ sung, thay thế (nếu có).</w:t>
      </w:r>
    </w:p>
    <w:p w:rsidR="00E7731A" w:rsidRPr="00E7731A" w:rsidRDefault="00E7731A" w:rsidP="00E7731A">
      <w:pPr>
        <w:shd w:val="clear" w:color="auto" w:fill="FFFFFF"/>
        <w:outlineLvl w:val="2"/>
        <w:rPr>
          <w:rFonts w:ascii="NotoSerif" w:eastAsia="Times New Roman" w:hAnsi="NotoSerif" w:cs="Arial"/>
          <w:color w:val="333333"/>
          <w:sz w:val="36"/>
          <w:szCs w:val="36"/>
        </w:rPr>
      </w:pPr>
      <w:r w:rsidRPr="00E7731A">
        <w:rPr>
          <w:rFonts w:ascii="NotoSerif" w:eastAsia="Times New Roman" w:hAnsi="NotoSerif" w:cs="Arial"/>
          <w:color w:val="333333"/>
          <w:sz w:val="36"/>
          <w:szCs w:val="36"/>
        </w:rPr>
        <w:t>Chính sách tín dụng cấp nước sạch và vệ sinh môi trường nông thôn </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E7731A">
        <w:rPr>
          <w:rFonts w:ascii="NotoSerif" w:eastAsia="Times New Roman" w:hAnsi="NotoSerif" w:cs="Arial"/>
          <w:color w:val="333333"/>
          <w:sz w:val="26"/>
          <w:szCs w:val="26"/>
        </w:rPr>
        <w:t>Thủ tướng Chính phủ đã ban hành Quyết định số 10/2024/QĐ-TTg ngày 15/7/2024 về tín dụng thực hiện cấp nước sạch và vệ sinh môi trường nông thôn.</w:t>
      </w:r>
      <w:proofErr w:type="gramEnd"/>
      <w:r w:rsidRPr="00E7731A">
        <w:rPr>
          <w:rFonts w:ascii="NotoSerif" w:eastAsia="Times New Roman" w:hAnsi="NotoSerif" w:cs="Arial"/>
          <w:color w:val="333333"/>
          <w:sz w:val="26"/>
          <w:szCs w:val="26"/>
        </w:rPr>
        <w:t xml:space="preserve"> Quyết định này quy định về chính sách tín dụng cấp nước sạch và vệ sinh môi trường nông thôn thực hiện Chiến lược quốc gia về cấp nước sạch và vệ sinh nông thôn đến năm 2030, tầm nhìn đến năm 2045 theo Quyết định số 1978/QĐ-TTg ngày 24/11/2021 của Thủ tướng Chính phủ để cho vay đầu tư xây dựng mới, nâng cấp, cải tạo, sửa chữa 02 loại công trình, bao gồm: Công trình cấp nước quy mô hộ gia đình; công trình vệ sinh môi trường hộ gia đình. </w:t>
      </w:r>
      <w:proofErr w:type="gramStart"/>
      <w:r w:rsidRPr="00E7731A">
        <w:rPr>
          <w:rFonts w:ascii="NotoSerif" w:eastAsia="Times New Roman" w:hAnsi="NotoSerif" w:cs="Arial"/>
          <w:color w:val="333333"/>
          <w:sz w:val="26"/>
          <w:szCs w:val="26"/>
        </w:rPr>
        <w:t>Quyết định trên có hiệu lực từ ngày 2/9/2024.</w:t>
      </w:r>
      <w:proofErr w:type="gramEnd"/>
    </w:p>
    <w:p w:rsidR="00E7731A" w:rsidRPr="00E7731A" w:rsidRDefault="00E7731A" w:rsidP="00E7731A">
      <w:pPr>
        <w:shd w:val="clear" w:color="auto" w:fill="FFFFFF"/>
        <w:outlineLvl w:val="2"/>
        <w:rPr>
          <w:rFonts w:ascii="NotoSerif" w:eastAsia="Times New Roman" w:hAnsi="NotoSerif" w:cs="Arial"/>
          <w:color w:val="333333"/>
          <w:sz w:val="36"/>
          <w:szCs w:val="36"/>
        </w:rPr>
      </w:pPr>
      <w:r w:rsidRPr="00E7731A">
        <w:rPr>
          <w:rFonts w:ascii="NotoSerif" w:eastAsia="Times New Roman" w:hAnsi="NotoSerif" w:cs="Arial"/>
          <w:color w:val="333333"/>
          <w:sz w:val="36"/>
          <w:szCs w:val="36"/>
        </w:rPr>
        <w:t xml:space="preserve">Quy định mới về thang lương, bảng lương, phụ cấp lương với người </w:t>
      </w:r>
      <w:proofErr w:type="gramStart"/>
      <w:r w:rsidRPr="00E7731A">
        <w:rPr>
          <w:rFonts w:ascii="NotoSerif" w:eastAsia="Times New Roman" w:hAnsi="NotoSerif" w:cs="Arial"/>
          <w:color w:val="333333"/>
          <w:sz w:val="36"/>
          <w:szCs w:val="36"/>
        </w:rPr>
        <w:t>lao</w:t>
      </w:r>
      <w:proofErr w:type="gramEnd"/>
      <w:r w:rsidRPr="00E7731A">
        <w:rPr>
          <w:rFonts w:ascii="NotoSerif" w:eastAsia="Times New Roman" w:hAnsi="NotoSerif" w:cs="Arial"/>
          <w:color w:val="333333"/>
          <w:sz w:val="36"/>
          <w:szCs w:val="36"/>
        </w:rPr>
        <w:t xml:space="preserve"> động trong doanh nghiệp nhà nước</w:t>
      </w:r>
    </w:p>
    <w:p w:rsidR="00E7731A" w:rsidRPr="00E7731A" w:rsidRDefault="00E7731A" w:rsidP="00E7731A">
      <w:pPr>
        <w:shd w:val="clear" w:color="auto" w:fill="FFFFFF"/>
        <w:spacing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Thông tư </w:t>
      </w:r>
      <w:hyperlink r:id="rId9" w:tgtFrame="_blank" w:tooltip="06/2024/TT-BLĐTBXH" w:history="1">
        <w:r w:rsidRPr="00E7731A">
          <w:rPr>
            <w:rFonts w:ascii="NotoSerif" w:eastAsia="Times New Roman" w:hAnsi="NotoSerif" w:cs="Arial"/>
            <w:color w:val="0000FF"/>
            <w:sz w:val="26"/>
            <w:szCs w:val="26"/>
            <w:u w:val="single"/>
          </w:rPr>
          <w:t>06/2024/TT-BLĐTBXH</w:t>
        </w:r>
      </w:hyperlink>
      <w:r w:rsidRPr="00E7731A">
        <w:rPr>
          <w:rFonts w:ascii="NotoSerif" w:eastAsia="Times New Roman" w:hAnsi="NotoSerif" w:cs="Arial"/>
          <w:color w:val="333333"/>
          <w:sz w:val="26"/>
          <w:szCs w:val="26"/>
        </w:rPr>
        <w:t> ban hành ngày 30/7/2024 có hiệu lực từ ngày 15/9/2024 sửa đổi, bổ sung Thông tư 26/2016/TT-BLĐTBXH hướng dẫn thực hiện quản lý lao động, tiền lương và tiền thưởng đối với người lao động làm việc trong công ty trách nhiệm hữu hạn một thành viên do Nhà nước nắm giữ 100% vốn điều lệ.</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 xml:space="preserve">Thông tư 06/2024/TT-BLĐTBXH bổ sung Điều 9a về thang lương, bảng lương, phụ cấp lương với người </w:t>
      </w:r>
      <w:proofErr w:type="gramStart"/>
      <w:r w:rsidRPr="00E7731A">
        <w:rPr>
          <w:rFonts w:ascii="NotoSerif" w:eastAsia="Times New Roman" w:hAnsi="NotoSerif" w:cs="Arial"/>
          <w:color w:val="333333"/>
          <w:sz w:val="26"/>
          <w:szCs w:val="26"/>
        </w:rPr>
        <w:t>lao</w:t>
      </w:r>
      <w:proofErr w:type="gramEnd"/>
      <w:r w:rsidRPr="00E7731A">
        <w:rPr>
          <w:rFonts w:ascii="NotoSerif" w:eastAsia="Times New Roman" w:hAnsi="NotoSerif" w:cs="Arial"/>
          <w:color w:val="333333"/>
          <w:sz w:val="26"/>
          <w:szCs w:val="26"/>
        </w:rPr>
        <w:t xml:space="preserve"> động trong công ty trách nhiệm hữu hạn một thành viên do Nhà nước nắm giữ 100% vốn điều lệ (doanh nghiệp nhà nước) được quy định như sau:</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 xml:space="preserve">- Căn cứ vào tổ chức sản xuất, tổ chức lao động, công ty rà soát và quyết định việc tiếp tục duy trì hoặc sửa đổi, bổ sung hoặc xây dựng, ban hành mới thang lương, bảng </w:t>
      </w:r>
      <w:r w:rsidRPr="00E7731A">
        <w:rPr>
          <w:rFonts w:ascii="NotoSerif" w:eastAsia="Times New Roman" w:hAnsi="NotoSerif" w:cs="Arial"/>
          <w:color w:val="333333"/>
          <w:sz w:val="26"/>
          <w:szCs w:val="26"/>
        </w:rPr>
        <w:lastRenderedPageBreak/>
        <w:t>lương, phụ cấp lương (kèm theo tiêu chuẩn áp dụng), bảo đảm quy định tại khoản 2 Điều 9a Thông tư 26/2016/TT-BLĐTBXH (sửa đổi, bổ sung bởi Thông tư 06/2024/TT-BLĐTBXH) làm cơ sở để xếp lương, trả lương và thực hiện các chế độ đối với người lao động theo quy định của pháp luật lao động.</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 Các mức lương trong thang lương, bảng lương, phụ cấp lương do công ty quyết định, bảo đảm quỹ tiền lương xác định trên cơ sở tổng tiền lương trong năm của tất cả người lao động tính theo các mức lương trong thang lương, bảng lương, phụ cấp lương của công ty không được vượt quá quỹ tiền lương kế hoạch của người lao động theo quy định tại Thông tư 26/2016/TT-BLĐTBXH (sửa đổi, bổ sung bởi Thông tư 06/2024/TT-BLĐTBXH).</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 Khi sửa đổi, bổ sung hoặc xây dựng, ban hành mới thang lương, bảng lương, phụ cấp lương, công ty phải tham khảo ý kiến của tổ chức đại diện người lao động tại cơ sở, tổ chức đối thoại tại nơi làm việc theo quy định của Bộ luật Lao động và các văn bản hướng dẫn thi hành, báo cáo cơ quan đại diện chủ sở hữu cho ý kiến và công khai tại công ty trước khi thực hiện.</w:t>
      </w:r>
    </w:p>
    <w:p w:rsidR="00E7731A" w:rsidRPr="00E7731A" w:rsidRDefault="00E7731A" w:rsidP="00E7731A">
      <w:pPr>
        <w:shd w:val="clear" w:color="auto" w:fill="FFFFFF"/>
        <w:outlineLvl w:val="2"/>
        <w:rPr>
          <w:rFonts w:ascii="NotoSerif" w:eastAsia="Times New Roman" w:hAnsi="NotoSerif" w:cs="Arial"/>
          <w:color w:val="333333"/>
          <w:sz w:val="36"/>
          <w:szCs w:val="36"/>
        </w:rPr>
      </w:pPr>
      <w:r w:rsidRPr="00E7731A">
        <w:rPr>
          <w:rFonts w:ascii="NotoSerif" w:eastAsia="Times New Roman" w:hAnsi="NotoSerif" w:cs="Arial"/>
          <w:color w:val="333333"/>
          <w:sz w:val="36"/>
          <w:szCs w:val="36"/>
        </w:rPr>
        <w:t>Hướng dẫn phương pháp lập giá bán điện bình quân</w:t>
      </w:r>
    </w:p>
    <w:p w:rsidR="00E7731A" w:rsidRPr="00E7731A" w:rsidRDefault="00E7731A" w:rsidP="00E7731A">
      <w:pPr>
        <w:shd w:val="clear" w:color="auto" w:fill="FFFFFF"/>
        <w:spacing w:line="450" w:lineRule="atLeast"/>
        <w:jc w:val="both"/>
        <w:rPr>
          <w:rFonts w:ascii="NotoSerif" w:eastAsia="Times New Roman" w:hAnsi="NotoSerif" w:cs="Arial"/>
          <w:color w:val="333333"/>
          <w:sz w:val="26"/>
          <w:szCs w:val="26"/>
        </w:rPr>
      </w:pPr>
      <w:proofErr w:type="gramStart"/>
      <w:r w:rsidRPr="00E7731A">
        <w:rPr>
          <w:rFonts w:ascii="NotoSerif" w:eastAsia="Times New Roman" w:hAnsi="NotoSerif" w:cs="Arial"/>
          <w:color w:val="333333"/>
          <w:sz w:val="26"/>
          <w:szCs w:val="26"/>
        </w:rPr>
        <w:t>Bộ Công Thương đã ban hành Thông tư số </w:t>
      </w:r>
      <w:hyperlink r:id="rId10" w:tgtFrame="_blank" w:tooltip="09/2024/TT-BCT " w:history="1">
        <w:r w:rsidRPr="00E7731A">
          <w:rPr>
            <w:rFonts w:ascii="NotoSerif" w:eastAsia="Times New Roman" w:hAnsi="NotoSerif" w:cs="Arial"/>
            <w:color w:val="0000FF"/>
            <w:sz w:val="26"/>
            <w:szCs w:val="26"/>
            <w:u w:val="single"/>
          </w:rPr>
          <w:t>09/2024/TT-BCT </w:t>
        </w:r>
      </w:hyperlink>
      <w:r w:rsidRPr="00E7731A">
        <w:rPr>
          <w:rFonts w:ascii="NotoSerif" w:eastAsia="Times New Roman" w:hAnsi="NotoSerif" w:cs="Arial"/>
          <w:color w:val="333333"/>
          <w:sz w:val="26"/>
          <w:szCs w:val="26"/>
        </w:rPr>
        <w:t>ngày 30/7/2024 quy định tính toán giá bán điện bình quân.</w:t>
      </w:r>
      <w:proofErr w:type="gramEnd"/>
      <w:r w:rsidRPr="00E7731A">
        <w:rPr>
          <w:rFonts w:ascii="NotoSerif" w:eastAsia="Times New Roman" w:hAnsi="NotoSerif" w:cs="Arial"/>
          <w:color w:val="333333"/>
          <w:sz w:val="26"/>
          <w:szCs w:val="26"/>
        </w:rPr>
        <w:t xml:space="preserve"> </w:t>
      </w:r>
      <w:proofErr w:type="gramStart"/>
      <w:r w:rsidRPr="00E7731A">
        <w:rPr>
          <w:rFonts w:ascii="NotoSerif" w:eastAsia="Times New Roman" w:hAnsi="NotoSerif" w:cs="Arial"/>
          <w:color w:val="333333"/>
          <w:sz w:val="26"/>
          <w:szCs w:val="26"/>
        </w:rPr>
        <w:t>Thông tư có hiệu lực chính thức từ 14/9/2024.</w:t>
      </w:r>
      <w:proofErr w:type="gramEnd"/>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 xml:space="preserve">Thông tư 09/2024/TT- BCT hướng dẫn Tập đoàn Điện lực Việt Nam (EVN) tính toán giá bán điện bình quân </w:t>
      </w:r>
      <w:proofErr w:type="gramStart"/>
      <w:r w:rsidRPr="00E7731A">
        <w:rPr>
          <w:rFonts w:ascii="NotoSerif" w:eastAsia="Times New Roman" w:hAnsi="NotoSerif" w:cs="Arial"/>
          <w:color w:val="333333"/>
          <w:sz w:val="26"/>
          <w:szCs w:val="26"/>
        </w:rPr>
        <w:t>theo</w:t>
      </w:r>
      <w:proofErr w:type="gramEnd"/>
      <w:r w:rsidRPr="00E7731A">
        <w:rPr>
          <w:rFonts w:ascii="NotoSerif" w:eastAsia="Times New Roman" w:hAnsi="NotoSerif" w:cs="Arial"/>
          <w:color w:val="333333"/>
          <w:sz w:val="26"/>
          <w:szCs w:val="26"/>
        </w:rPr>
        <w:t xml:space="preserve"> quy định tại Điều 4 Quyết định số 05/2024/QĐ-TTg ngày 26/3/2024 của Thủ tướng Chính phủ quy định về cơ chế điều chỉnh mức giá bán lẻ điện bình quân.</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E7731A">
        <w:rPr>
          <w:rFonts w:ascii="NotoSerif" w:eastAsia="Times New Roman" w:hAnsi="NotoSerif" w:cs="Arial"/>
          <w:color w:val="333333"/>
          <w:sz w:val="26"/>
          <w:szCs w:val="26"/>
        </w:rPr>
        <w:t>Trong đó, Thông tư hướng dẫn chi tiết về phương pháp lập giá bán điện bình quân hằng năm và trong năm cũng như công thức tính toán để có kết quả giá điện cuối cùng.</w:t>
      </w:r>
      <w:proofErr w:type="gramEnd"/>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Theo đó, giá bán điện bình quân hằng năm và trong năm được tính toán dựa trên các chi phí khâu phát điện, chi phí dịch vụ phụ trợ hệ thống điện, chi phí mua các dịch vụ truyền tải điện, phân phối - bán lẻ điện, điều độ hệ thống điện và điều hành giao dịch thị trường điện lực, chi phí điều hành - quản lý ngành trong giá bán điện bình quân hằng năm/trong năm.</w:t>
      </w:r>
    </w:p>
    <w:p w:rsidR="00E7731A" w:rsidRPr="00E7731A" w:rsidRDefault="00E7731A" w:rsidP="00E7731A">
      <w:pPr>
        <w:shd w:val="clear" w:color="auto" w:fill="FFFFFF"/>
        <w:outlineLvl w:val="2"/>
        <w:rPr>
          <w:rFonts w:ascii="NotoSerif" w:eastAsia="Times New Roman" w:hAnsi="NotoSerif" w:cs="Arial"/>
          <w:color w:val="333333"/>
          <w:sz w:val="36"/>
          <w:szCs w:val="36"/>
        </w:rPr>
      </w:pPr>
      <w:r w:rsidRPr="00E7731A">
        <w:rPr>
          <w:rFonts w:ascii="NotoSerif" w:eastAsia="Times New Roman" w:hAnsi="NotoSerif" w:cs="Arial"/>
          <w:color w:val="333333"/>
          <w:sz w:val="36"/>
          <w:szCs w:val="36"/>
        </w:rPr>
        <w:lastRenderedPageBreak/>
        <w:t>Hướng dẫn quản lý tiền ký quỹ phục hồi môi trường trong khai thác khoáng sản</w:t>
      </w:r>
    </w:p>
    <w:p w:rsidR="00E7731A" w:rsidRPr="00E7731A" w:rsidRDefault="00E7731A" w:rsidP="00E7731A">
      <w:pPr>
        <w:shd w:val="clear" w:color="auto" w:fill="FFFFFF"/>
        <w:spacing w:line="450" w:lineRule="atLeast"/>
        <w:jc w:val="both"/>
        <w:rPr>
          <w:rFonts w:ascii="NotoSerif" w:eastAsia="Times New Roman" w:hAnsi="NotoSerif" w:cs="Arial"/>
          <w:color w:val="333333"/>
          <w:sz w:val="26"/>
          <w:szCs w:val="26"/>
        </w:rPr>
      </w:pPr>
      <w:proofErr w:type="gramStart"/>
      <w:r w:rsidRPr="00E7731A">
        <w:rPr>
          <w:rFonts w:ascii="NotoSerif" w:eastAsia="Times New Roman" w:hAnsi="NotoSerif" w:cs="Arial"/>
          <w:color w:val="333333"/>
          <w:sz w:val="26"/>
          <w:szCs w:val="26"/>
        </w:rPr>
        <w:t>Bộ Tài chính ban hành Thông tư số </w:t>
      </w:r>
      <w:hyperlink r:id="rId11" w:tgtFrame="_blank" w:tooltip="57/2024/TT-BTC " w:history="1">
        <w:r w:rsidRPr="00E7731A">
          <w:rPr>
            <w:rFonts w:ascii="NotoSerif" w:eastAsia="Times New Roman" w:hAnsi="NotoSerif" w:cs="Arial"/>
            <w:color w:val="0000FF"/>
            <w:sz w:val="26"/>
            <w:szCs w:val="26"/>
            <w:u w:val="single"/>
          </w:rPr>
          <w:t>57/2024/TT-BTC </w:t>
        </w:r>
      </w:hyperlink>
      <w:r w:rsidRPr="00E7731A">
        <w:rPr>
          <w:rFonts w:ascii="NotoSerif" w:eastAsia="Times New Roman" w:hAnsi="NotoSerif" w:cs="Arial"/>
          <w:color w:val="333333"/>
          <w:sz w:val="26"/>
          <w:szCs w:val="26"/>
        </w:rPr>
        <w:t>ngày 1/8/2024 hướng dẫn quản lý và sử dụng tiền ký quỹ cải tạo, phục hồi môi trường trong hoạt động khai thác khoáng sản và hoạt động chôn lấp chất thải tại Quỹ Bảo vệ môi trường.</w:t>
      </w:r>
      <w:proofErr w:type="gramEnd"/>
      <w:r w:rsidRPr="00E7731A">
        <w:rPr>
          <w:rFonts w:ascii="NotoSerif" w:eastAsia="Times New Roman" w:hAnsi="NotoSerif" w:cs="Arial"/>
          <w:color w:val="333333"/>
          <w:sz w:val="26"/>
          <w:szCs w:val="26"/>
        </w:rPr>
        <w:t xml:space="preserve"> </w:t>
      </w:r>
      <w:proofErr w:type="gramStart"/>
      <w:r w:rsidRPr="00E7731A">
        <w:rPr>
          <w:rFonts w:ascii="NotoSerif" w:eastAsia="Times New Roman" w:hAnsi="NotoSerif" w:cs="Arial"/>
          <w:color w:val="333333"/>
          <w:sz w:val="26"/>
          <w:szCs w:val="26"/>
        </w:rPr>
        <w:t>Thông tư này có hiệu lực thi hành kể từ ngày 14/9/2024.</w:t>
      </w:r>
      <w:proofErr w:type="gramEnd"/>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 xml:space="preserve">Theo Thông tư, Bên ký quỹ là tổ chức, cá nhân có hoạt động khai thác khoáng sản, hoạt động chôn lấp chất thải </w:t>
      </w:r>
      <w:proofErr w:type="gramStart"/>
      <w:r w:rsidRPr="00E7731A">
        <w:rPr>
          <w:rFonts w:ascii="NotoSerif" w:eastAsia="Times New Roman" w:hAnsi="NotoSerif" w:cs="Arial"/>
          <w:color w:val="333333"/>
          <w:sz w:val="26"/>
          <w:szCs w:val="26"/>
        </w:rPr>
        <w:t>theo</w:t>
      </w:r>
      <w:proofErr w:type="gramEnd"/>
      <w:r w:rsidRPr="00E7731A">
        <w:rPr>
          <w:rFonts w:ascii="NotoSerif" w:eastAsia="Times New Roman" w:hAnsi="NotoSerif" w:cs="Arial"/>
          <w:color w:val="333333"/>
          <w:sz w:val="26"/>
          <w:szCs w:val="26"/>
        </w:rPr>
        <w:t xml:space="preserve"> quy định của Luật Bảo vệ môi trường và các văn bản hướng dẫn có liên quan. </w:t>
      </w:r>
      <w:proofErr w:type="gramStart"/>
      <w:r w:rsidRPr="00E7731A">
        <w:rPr>
          <w:rFonts w:ascii="NotoSerif" w:eastAsia="Times New Roman" w:hAnsi="NotoSerif" w:cs="Arial"/>
          <w:color w:val="333333"/>
          <w:sz w:val="26"/>
          <w:szCs w:val="26"/>
        </w:rPr>
        <w:t>Bên nhận ký quỹ là Quỹ Bảo vệ môi trường.</w:t>
      </w:r>
      <w:proofErr w:type="gramEnd"/>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Tiền ký quỹ là khoản tiền bên ký quỹ gửi vào bên nhận ký quỹ để đảm bảo trách nhiệm thực hiện các hạng mục công trình cải tạo, phục hồi môi trường và xử lý rủi ro, nguy cơ ô nhiễm môi trường phát sinh từ hoạt động khai thác khoáng sản và hoạt động chôn lấp chất thải theo quy định của pháp luật và Thông tư này.</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E7731A">
        <w:rPr>
          <w:rFonts w:ascii="NotoSerif" w:eastAsia="Times New Roman" w:hAnsi="NotoSerif" w:cs="Arial"/>
          <w:color w:val="333333"/>
          <w:sz w:val="26"/>
          <w:szCs w:val="26"/>
        </w:rPr>
        <w:t>Bên nhận ký quỹ phải gửi toàn bộ tiền ký quỹ vào tài khoản ký quỹ riêng mở tại ngân hàng thương mại.</w:t>
      </w:r>
      <w:proofErr w:type="gramEnd"/>
      <w:r w:rsidRPr="00E7731A">
        <w:rPr>
          <w:rFonts w:ascii="NotoSerif" w:eastAsia="Times New Roman" w:hAnsi="NotoSerif" w:cs="Arial"/>
          <w:color w:val="333333"/>
          <w:sz w:val="26"/>
          <w:szCs w:val="26"/>
        </w:rPr>
        <w:t xml:space="preserve"> Tài khoản ký quỹ là tài khoản độc lập với các tài khoản khác tại ngân hàng thương mại của bên nhận ký quỹ và </w:t>
      </w:r>
      <w:proofErr w:type="gramStart"/>
      <w:r w:rsidRPr="00E7731A">
        <w:rPr>
          <w:rFonts w:ascii="NotoSerif" w:eastAsia="Times New Roman" w:hAnsi="NotoSerif" w:cs="Arial"/>
          <w:color w:val="333333"/>
          <w:sz w:val="26"/>
          <w:szCs w:val="26"/>
        </w:rPr>
        <w:t>theo</w:t>
      </w:r>
      <w:proofErr w:type="gramEnd"/>
      <w:r w:rsidRPr="00E7731A">
        <w:rPr>
          <w:rFonts w:ascii="NotoSerif" w:eastAsia="Times New Roman" w:hAnsi="NotoSerif" w:cs="Arial"/>
          <w:color w:val="333333"/>
          <w:sz w:val="26"/>
          <w:szCs w:val="26"/>
        </w:rPr>
        <w:t xml:space="preserve"> dõi chi tiết tiền ký quỹ và tiền lãi phát sinh từ tiền ký quỹ của từng dự án, tổ chức, cá nhân ký quỹ…</w:t>
      </w:r>
    </w:p>
    <w:p w:rsidR="00E7731A" w:rsidRPr="00E7731A" w:rsidRDefault="00E7731A" w:rsidP="00E7731A">
      <w:pPr>
        <w:shd w:val="clear" w:color="auto" w:fill="FFFFFF"/>
        <w:outlineLvl w:val="2"/>
        <w:rPr>
          <w:rFonts w:ascii="NotoSerif" w:eastAsia="Times New Roman" w:hAnsi="NotoSerif" w:cs="Arial"/>
          <w:color w:val="333333"/>
          <w:sz w:val="36"/>
          <w:szCs w:val="36"/>
        </w:rPr>
      </w:pPr>
      <w:r w:rsidRPr="00E7731A">
        <w:rPr>
          <w:rFonts w:ascii="NotoSerif" w:eastAsia="Times New Roman" w:hAnsi="NotoSerif" w:cs="Arial"/>
          <w:color w:val="333333"/>
          <w:sz w:val="36"/>
          <w:szCs w:val="36"/>
        </w:rPr>
        <w:t>Sửa quy định mua, bán ngoại tệ giữa dự trữ ngoại hối chính thức với ngân sách nhà nước</w:t>
      </w:r>
    </w:p>
    <w:p w:rsidR="00E7731A" w:rsidRPr="00E7731A" w:rsidRDefault="00E7731A" w:rsidP="00E7731A">
      <w:pPr>
        <w:shd w:val="clear" w:color="auto" w:fill="FFFFFF"/>
        <w:spacing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Ngân hàng Nhà nước (NHNN) đã ban hành Thông tư </w:t>
      </w:r>
      <w:hyperlink r:id="rId12" w:tgtFrame="_blank" w:tooltip="43/2024/TT-NHNN" w:history="1">
        <w:r w:rsidRPr="00E7731A">
          <w:rPr>
            <w:rFonts w:ascii="NotoSerif" w:eastAsia="Times New Roman" w:hAnsi="NotoSerif" w:cs="Arial"/>
            <w:color w:val="0000FF"/>
            <w:sz w:val="26"/>
            <w:szCs w:val="26"/>
            <w:u w:val="single"/>
          </w:rPr>
          <w:t>43/2024/TT-NHNN</w:t>
        </w:r>
      </w:hyperlink>
      <w:r w:rsidRPr="00E7731A">
        <w:rPr>
          <w:rFonts w:ascii="NotoSerif" w:eastAsia="Times New Roman" w:hAnsi="NotoSerif" w:cs="Arial"/>
          <w:color w:val="333333"/>
          <w:sz w:val="26"/>
          <w:szCs w:val="26"/>
        </w:rPr>
        <w:t xml:space="preserve"> ngày 9/8/2024 sửa đổi, bổ sung một số điều của Thông tư số 01/2014/TT-NHNN ngày 10/12/2014 hướng dẫn việc tổ chức thực hiện hoạt động quản lý dự trữ ngoại hối nhà nước. </w:t>
      </w:r>
      <w:proofErr w:type="gramStart"/>
      <w:r w:rsidRPr="00E7731A">
        <w:rPr>
          <w:rFonts w:ascii="NotoSerif" w:eastAsia="Times New Roman" w:hAnsi="NotoSerif" w:cs="Arial"/>
          <w:color w:val="333333"/>
          <w:sz w:val="26"/>
          <w:szCs w:val="26"/>
        </w:rPr>
        <w:t>Thông tư này có hiệu lực từ ngày 23/9/2024.</w:t>
      </w:r>
      <w:proofErr w:type="gramEnd"/>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Thông tư 43/2024/TT-NHNN sửa đổi, bổ sung Điều 9 Thông tư 01/2014/TT-NHNN về việc mua, bán ngoại tệ giữa dự trữ ngoại hối chính thức với ngân sách nhà nước như sau:</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 Mua ngoại tệ từ ngân sách nhà nước:</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 xml:space="preserve">Căn cứ vào kế hoạch bán ngoại tệ hằng năm của ngân sách nhà nước và văn bản đề nghị bán ngoại tệ của Bộ Tài chính và/hoặc các văn bản chỉ đạo của Thủ tướng Chính </w:t>
      </w:r>
      <w:r w:rsidRPr="00E7731A">
        <w:rPr>
          <w:rFonts w:ascii="NotoSerif" w:eastAsia="Times New Roman" w:hAnsi="NotoSerif" w:cs="Arial"/>
          <w:color w:val="333333"/>
          <w:sz w:val="26"/>
          <w:szCs w:val="26"/>
        </w:rPr>
        <w:lastRenderedPageBreak/>
        <w:t>phủ, Cục Quản lý dự trữ ngoại hối nhà nước thực hiện mua ngoại tệ bổ sung dự trữ ngoại hối nhà nước từ ngân sách nhà nước với tỷ giá quy định.</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 Bán ngoại tệ cho ngân sách nhà nước:</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Căn cứ văn bản đề nghị mua ngoại tệ của Bộ Tài chính để đáp ứng nhu cầu ngoại tệ cho ngân sách nhà nước, Cục Quản lý dự trữ ngoại hối nhà nước phối hợp với Vụ Chính sách tiền tệ xây dựng phương án cân đối bán ngoại tệ cho ngân sách nhà nước trình Thống đốc NHNN phê duyệt và thông báo với Bộ Tài chính.</w:t>
      </w:r>
    </w:p>
    <w:p w:rsidR="00E7731A" w:rsidRPr="00E7731A" w:rsidRDefault="00E7731A" w:rsidP="00E7731A">
      <w:pPr>
        <w:shd w:val="clear" w:color="auto" w:fill="FFFFFF"/>
        <w:spacing w:before="233" w:after="233" w:line="450" w:lineRule="atLeast"/>
        <w:jc w:val="both"/>
        <w:rPr>
          <w:rFonts w:ascii="NotoSerif" w:eastAsia="Times New Roman" w:hAnsi="NotoSerif" w:cs="Arial"/>
          <w:color w:val="333333"/>
          <w:sz w:val="26"/>
          <w:szCs w:val="26"/>
        </w:rPr>
      </w:pPr>
      <w:r w:rsidRPr="00E7731A">
        <w:rPr>
          <w:rFonts w:ascii="NotoSerif" w:eastAsia="Times New Roman" w:hAnsi="NotoSerif" w:cs="Arial"/>
          <w:color w:val="333333"/>
          <w:sz w:val="26"/>
          <w:szCs w:val="26"/>
        </w:rPr>
        <w:t xml:space="preserve">Căn cứ vào phương </w:t>
      </w:r>
      <w:proofErr w:type="gramStart"/>
      <w:r w:rsidRPr="00E7731A">
        <w:rPr>
          <w:rFonts w:ascii="NotoSerif" w:eastAsia="Times New Roman" w:hAnsi="NotoSerif" w:cs="Arial"/>
          <w:color w:val="333333"/>
          <w:sz w:val="26"/>
          <w:szCs w:val="26"/>
        </w:rPr>
        <w:t>án</w:t>
      </w:r>
      <w:proofErr w:type="gramEnd"/>
      <w:r w:rsidRPr="00E7731A">
        <w:rPr>
          <w:rFonts w:ascii="NotoSerif" w:eastAsia="Times New Roman" w:hAnsi="NotoSerif" w:cs="Arial"/>
          <w:color w:val="333333"/>
          <w:sz w:val="26"/>
          <w:szCs w:val="26"/>
        </w:rPr>
        <w:t xml:space="preserve"> cân đối bán ngoại tệ đã được Thống đốc NHNN phê duyệt, Cục Quản lý dự trữ ngoại hối nhà nước thực hiện việc bán ngoại tệ cho ngân sách nhà nước với tỷ giá quy định.</w:t>
      </w:r>
    </w:p>
    <w:p w:rsidR="00E7731A" w:rsidRPr="00E7731A" w:rsidRDefault="00E7731A" w:rsidP="00E7731A">
      <w:pPr>
        <w:shd w:val="clear" w:color="auto" w:fill="FFFFFF"/>
        <w:spacing w:before="90"/>
        <w:jc w:val="right"/>
        <w:outlineLvl w:val="3"/>
        <w:rPr>
          <w:rFonts w:ascii="inherit" w:eastAsia="Times New Roman" w:hAnsi="inherit" w:cs="Arial"/>
          <w:b/>
          <w:bCs/>
          <w:color w:val="333333"/>
          <w:sz w:val="21"/>
          <w:szCs w:val="21"/>
        </w:rPr>
      </w:pPr>
      <w:proofErr w:type="gramStart"/>
      <w:r w:rsidRPr="00E7731A">
        <w:rPr>
          <w:rFonts w:ascii="inherit" w:eastAsia="Times New Roman" w:hAnsi="inherit" w:cs="Arial"/>
          <w:b/>
          <w:bCs/>
          <w:color w:val="333333"/>
          <w:sz w:val="21"/>
          <w:szCs w:val="21"/>
        </w:rPr>
        <w:t>theo</w:t>
      </w:r>
      <w:proofErr w:type="gramEnd"/>
      <w:r w:rsidRPr="00E7731A">
        <w:rPr>
          <w:rFonts w:ascii="inherit" w:eastAsia="Times New Roman" w:hAnsi="inherit" w:cs="Arial"/>
          <w:b/>
          <w:bCs/>
          <w:color w:val="333333"/>
          <w:sz w:val="21"/>
          <w:szCs w:val="21"/>
        </w:rPr>
        <w:t xml:space="preserve"> Chinhphu.vn</w:t>
      </w:r>
    </w:p>
    <w:p w:rsidR="00E7731A" w:rsidRPr="00E7731A" w:rsidRDefault="00E7731A" w:rsidP="00E7731A">
      <w:pPr>
        <w:shd w:val="clear" w:color="auto" w:fill="FFFFFF"/>
        <w:spacing w:before="90"/>
        <w:jc w:val="right"/>
        <w:outlineLvl w:val="3"/>
        <w:rPr>
          <w:rFonts w:ascii="inherit" w:eastAsia="Times New Roman" w:hAnsi="inherit" w:cs="Arial"/>
          <w:b/>
          <w:bCs/>
          <w:color w:val="333333"/>
          <w:sz w:val="21"/>
          <w:szCs w:val="21"/>
        </w:rPr>
      </w:pPr>
      <w:proofErr w:type="gramStart"/>
      <w:r w:rsidRPr="00E7731A">
        <w:rPr>
          <w:rFonts w:ascii="inherit" w:eastAsia="Times New Roman" w:hAnsi="inherit" w:cs="Arial"/>
          <w:b/>
          <w:bCs/>
          <w:color w:val="333333"/>
          <w:sz w:val="21"/>
          <w:szCs w:val="21"/>
        </w:rPr>
        <w:t>link</w:t>
      </w:r>
      <w:proofErr w:type="gramEnd"/>
      <w:r w:rsidRPr="00E7731A">
        <w:rPr>
          <w:rFonts w:ascii="inherit" w:eastAsia="Times New Roman" w:hAnsi="inherit" w:cs="Arial"/>
          <w:b/>
          <w:bCs/>
          <w:color w:val="333333"/>
          <w:sz w:val="21"/>
          <w:szCs w:val="21"/>
        </w:rPr>
        <w:t>: https://baochinhphu.vn/chinh-sach-moi-co-hieu-luc-tu-thang-9-2024-102240831165242945.htm</w:t>
      </w:r>
    </w:p>
    <w:p w:rsidR="002361C9" w:rsidRDefault="002361C9"/>
    <w:sectPr w:rsidR="002361C9"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1A"/>
    <w:rsid w:val="002361C9"/>
    <w:rsid w:val="00445C35"/>
    <w:rsid w:val="00747037"/>
    <w:rsid w:val="00E7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7731A"/>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E7731A"/>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731A"/>
    <w:rPr>
      <w:rFonts w:eastAsia="Times New Roman" w:cs="Times New Roman"/>
      <w:b/>
      <w:bCs/>
      <w:sz w:val="27"/>
      <w:szCs w:val="27"/>
    </w:rPr>
  </w:style>
  <w:style w:type="character" w:customStyle="1" w:styleId="Heading4Char">
    <w:name w:val="Heading 4 Char"/>
    <w:basedOn w:val="DefaultParagraphFont"/>
    <w:link w:val="Heading4"/>
    <w:uiPriority w:val="9"/>
    <w:rsid w:val="00E7731A"/>
    <w:rPr>
      <w:rFonts w:eastAsia="Times New Roman" w:cs="Times New Roman"/>
      <w:b/>
      <w:bCs/>
      <w:sz w:val="24"/>
      <w:szCs w:val="24"/>
    </w:rPr>
  </w:style>
  <w:style w:type="character" w:styleId="Hyperlink">
    <w:name w:val="Hyperlink"/>
    <w:basedOn w:val="DefaultParagraphFont"/>
    <w:uiPriority w:val="99"/>
    <w:semiHidden/>
    <w:unhideWhenUsed/>
    <w:rsid w:val="00E7731A"/>
    <w:rPr>
      <w:color w:val="0000FF"/>
      <w:u w:val="single"/>
    </w:rPr>
  </w:style>
  <w:style w:type="paragraph" w:customStyle="1" w:styleId="lead">
    <w:name w:val="lead"/>
    <w:basedOn w:val="Normal"/>
    <w:rsid w:val="00E7731A"/>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E7731A"/>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7731A"/>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E7731A"/>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731A"/>
    <w:rPr>
      <w:rFonts w:eastAsia="Times New Roman" w:cs="Times New Roman"/>
      <w:b/>
      <w:bCs/>
      <w:sz w:val="27"/>
      <w:szCs w:val="27"/>
    </w:rPr>
  </w:style>
  <w:style w:type="character" w:customStyle="1" w:styleId="Heading4Char">
    <w:name w:val="Heading 4 Char"/>
    <w:basedOn w:val="DefaultParagraphFont"/>
    <w:link w:val="Heading4"/>
    <w:uiPriority w:val="9"/>
    <w:rsid w:val="00E7731A"/>
    <w:rPr>
      <w:rFonts w:eastAsia="Times New Roman" w:cs="Times New Roman"/>
      <w:b/>
      <w:bCs/>
      <w:sz w:val="24"/>
      <w:szCs w:val="24"/>
    </w:rPr>
  </w:style>
  <w:style w:type="character" w:styleId="Hyperlink">
    <w:name w:val="Hyperlink"/>
    <w:basedOn w:val="DefaultParagraphFont"/>
    <w:uiPriority w:val="99"/>
    <w:semiHidden/>
    <w:unhideWhenUsed/>
    <w:rsid w:val="00E7731A"/>
    <w:rPr>
      <w:color w:val="0000FF"/>
      <w:u w:val="single"/>
    </w:rPr>
  </w:style>
  <w:style w:type="paragraph" w:customStyle="1" w:styleId="lead">
    <w:name w:val="lead"/>
    <w:basedOn w:val="Normal"/>
    <w:rsid w:val="00E7731A"/>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E7731A"/>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66834">
      <w:bodyDiv w:val="1"/>
      <w:marLeft w:val="0"/>
      <w:marRight w:val="0"/>
      <w:marTop w:val="0"/>
      <w:marBottom w:val="0"/>
      <w:divBdr>
        <w:top w:val="none" w:sz="0" w:space="0" w:color="auto"/>
        <w:left w:val="none" w:sz="0" w:space="0" w:color="auto"/>
        <w:bottom w:val="none" w:sz="0" w:space="0" w:color="auto"/>
        <w:right w:val="none" w:sz="0" w:space="0" w:color="auto"/>
      </w:divBdr>
      <w:divsChild>
        <w:div w:id="1746149645">
          <w:marLeft w:val="0"/>
          <w:marRight w:val="0"/>
          <w:marTop w:val="0"/>
          <w:marBottom w:val="0"/>
          <w:divBdr>
            <w:top w:val="none" w:sz="0" w:space="0" w:color="auto"/>
            <w:left w:val="none" w:sz="0" w:space="0" w:color="auto"/>
            <w:bottom w:val="none" w:sz="0" w:space="0" w:color="auto"/>
            <w:right w:val="none" w:sz="0" w:space="0" w:color="auto"/>
          </w:divBdr>
          <w:divsChild>
            <w:div w:id="864902943">
              <w:marLeft w:val="0"/>
              <w:marRight w:val="0"/>
              <w:marTop w:val="150"/>
              <w:marBottom w:val="300"/>
              <w:divBdr>
                <w:top w:val="none" w:sz="0" w:space="0" w:color="auto"/>
                <w:left w:val="none" w:sz="0" w:space="0" w:color="auto"/>
                <w:bottom w:val="single" w:sz="6" w:space="7" w:color="EEEEEE"/>
                <w:right w:val="none" w:sz="0" w:space="0" w:color="auto"/>
              </w:divBdr>
              <w:divsChild>
                <w:div w:id="160631149">
                  <w:marLeft w:val="0"/>
                  <w:marRight w:val="0"/>
                  <w:marTop w:val="0"/>
                  <w:marBottom w:val="0"/>
                  <w:divBdr>
                    <w:top w:val="none" w:sz="0" w:space="0" w:color="auto"/>
                    <w:left w:val="none" w:sz="0" w:space="0" w:color="auto"/>
                    <w:bottom w:val="none" w:sz="0" w:space="0" w:color="auto"/>
                    <w:right w:val="none" w:sz="0" w:space="0" w:color="auto"/>
                  </w:divBdr>
                  <w:divsChild>
                    <w:div w:id="9604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1075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nban.chinhphu.vn/?pageid=27160&amp;docid=210701" TargetMode="External"/><Relationship Id="rId12" Type="http://schemas.openxmlformats.org/officeDocument/2006/relationships/hyperlink" Target="https://vanban.chinhphu.vn/?pageid=27160&amp;docid=210908"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vanban.chinhphu.vn/?pageid=27160&amp;docid=210693" TargetMode="External"/><Relationship Id="rId11" Type="http://schemas.openxmlformats.org/officeDocument/2006/relationships/hyperlink" Target="https://vanban.chinhphu.vn/?pageid=27160&amp;docid=210909" TargetMode="External"/><Relationship Id="rId5" Type="http://schemas.openxmlformats.org/officeDocument/2006/relationships/hyperlink" Target="https://vanban.chinhphu.vn/?pageid=27160&amp;docid=210650" TargetMode="External"/><Relationship Id="rId15" Type="http://schemas.openxmlformats.org/officeDocument/2006/relationships/customXml" Target="../customXml/item1.xml"/><Relationship Id="rId10" Type="http://schemas.openxmlformats.org/officeDocument/2006/relationships/hyperlink" Target="https://vanban.chinhphu.vn/?pageid=27160&amp;docid=210821" TargetMode="External"/><Relationship Id="rId4" Type="http://schemas.openxmlformats.org/officeDocument/2006/relationships/webSettings" Target="webSettings.xml"/><Relationship Id="rId9" Type="http://schemas.openxmlformats.org/officeDocument/2006/relationships/hyperlink" Target="https://vanban.chinhphu.vn/?pageid=27160&amp;docid=2108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945A0-25FA-4DCB-AF4D-052DC4A49BDD}"/>
</file>

<file path=customXml/itemProps2.xml><?xml version="1.0" encoding="utf-8"?>
<ds:datastoreItem xmlns:ds="http://schemas.openxmlformats.org/officeDocument/2006/customXml" ds:itemID="{A22A8381-4CAA-489F-BE23-1F83DFEA6936}"/>
</file>

<file path=customXml/itemProps3.xml><?xml version="1.0" encoding="utf-8"?>
<ds:datastoreItem xmlns:ds="http://schemas.openxmlformats.org/officeDocument/2006/customXml" ds:itemID="{5E822046-7ACA-40C7-A5BE-5500E3DBCD14}"/>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11350</Characters>
  <Application>Microsoft Office Word</Application>
  <DocSecurity>0</DocSecurity>
  <Lines>94</Lines>
  <Paragraphs>26</Paragraphs>
  <ScaleCrop>false</ScaleCrop>
  <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2</cp:revision>
  <dcterms:created xsi:type="dcterms:W3CDTF">2024-09-10T10:01:00Z</dcterms:created>
  <dcterms:modified xsi:type="dcterms:W3CDTF">2024-09-10T10:15:00Z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104800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